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X594db0813c6c9dfa468ef95c602756276e87ba3"/>
    <w:p>
      <w:pPr>
        <w:pStyle w:val="Heading1"/>
      </w:pPr>
      <w:r>
        <w:t xml:space="preserve">Prompt 10 — Translate a Stakeholder Question into a Defensible Artifact</w:t>
      </w:r>
    </w:p>
    <w:p>
      <w:pPr>
        <w:pStyle w:val="BlockText"/>
      </w:pPr>
      <w:r>
        <w:t xml:space="preserve">Adapted from Chapter 13. The cross-surface pattern that applies regardless of which Copilot surface the question lands on.</w:t>
      </w:r>
    </w:p>
    <w:p>
      <w:pPr>
        <w:pStyle w:val="BlockText"/>
      </w:pPr>
      <w:r>
        <w:rPr>
          <w:b/>
          <w:bCs/>
        </w:rPr>
        <w:t xml:space="preserve">Verified against</w:t>
      </w:r>
      <w:r>
        <w:t xml:space="preserve">: Power BI Copilot, June 2026 surface (applies across report-author, AI visuals, and Copilot for Power BI surfaces)</w:t>
      </w:r>
    </w:p>
    <w:bookmarkStart w:id="9" w:name="the-pattern"/>
    <w:p>
      <w:pPr>
        <w:pStyle w:val="Heading2"/>
      </w:pPr>
      <w:r>
        <w:t xml:space="preserve">The pattern</w:t>
      </w:r>
    </w:p>
    <w:p>
      <w:pPr>
        <w:pStyle w:val="FirstParagraph"/>
      </w:pPr>
      <w:r>
        <w:t xml:space="preserve">The most expensive class of error in AI-directed analytics is</w:t>
      </w:r>
      <w:r>
        <w:t xml:space="preserve"> </w:t>
      </w:r>
      <w:r>
        <w:rPr>
          <w:b/>
          <w:bCs/>
        </w:rPr>
        <w:t xml:space="preserve">answering the causal question with a what answer that looks like a why answer</w:t>
      </w:r>
      <w:r>
        <w:t xml:space="preserve">. The pattern below converts the question to one the data can actually answer before the artifact gets built — so the eventual</w:t>
      </w:r>
      <w:r>
        <w:t xml:space="preserve"> </w:t>
      </w:r>
      <w:r>
        <w:rPr>
          <w:i/>
          <w:iCs/>
        </w:rPr>
        <w:t xml:space="preserve">why</w:t>
      </w:r>
      <w:r>
        <w:t xml:space="preserve"> </w:t>
      </w:r>
      <w:r>
        <w:t xml:space="preserve">interpretation belongs to the analyst, not to the data or the visual.</w:t>
      </w:r>
    </w:p>
    <w:bookmarkEnd w:id="9"/>
    <w:bookmarkStart w:id="10" w:name="Xb228423ea43697a0b88c24f057177d6373b1d18"/>
    <w:p>
      <w:pPr>
        <w:pStyle w:val="Heading2"/>
      </w:pPr>
      <w:r>
        <w:t xml:space="preserve">Crystallize — reframe causal questions into</w:t>
      </w:r>
      <w:r>
        <w:t xml:space="preserve"> </w:t>
      </w:r>
      <w:r>
        <w:rPr>
          <w:i/>
          <w:iCs/>
        </w:rPr>
        <w:t xml:space="preserve">what</w:t>
      </w:r>
      <w:r>
        <w:t xml:space="preserve"> </w:t>
      </w:r>
      <w:r>
        <w:t xml:space="preserve">questions before asking</w:t>
      </w:r>
    </w:p>
    <w:p>
      <w:pPr>
        <w:pStyle w:val="BlockText"/>
      </w:pPr>
      <w:r>
        <w:t xml:space="preserve">Original stakeholder question:</w:t>
      </w:r>
      <w:r>
        <w:t xml:space="preserve"> </w:t>
      </w:r>
      <w:r>
        <w:rPr>
          <w:i/>
          <w:iCs/>
        </w:rPr>
        <w:t xml:space="preserve">“Why did denials rise in March?”</w:t>
      </w:r>
    </w:p>
    <w:p>
      <w:pPr>
        <w:pStyle w:val="BlockText"/>
      </w:pPr>
      <w:r>
        <w:t xml:space="preserve">Reframed question for the data:</w:t>
      </w:r>
      <w:r>
        <w:t xml:space="preserve"> </w:t>
      </w:r>
      <w:r>
        <w:rPr>
          <w:i/>
          <w:iCs/>
        </w:rPr>
        <w:t xml:space="preserve">“Which denial reasons contributed most to the March rise?”</w:t>
      </w:r>
    </w:p>
    <w:p>
      <w:pPr>
        <w:pStyle w:val="FirstParagraph"/>
      </w:pPr>
      <w:r>
        <w:t xml:space="preserve">The reframed question is answerable from data. The original causal interpretation belongs to the analyst’s reading of the data, not to the data’s own claim.</w:t>
      </w:r>
    </w:p>
    <w:bookmarkEnd w:id="10"/>
    <w:bookmarkStart w:id="11" w:name="synthesize"/>
    <w:p>
      <w:pPr>
        <w:pStyle w:val="Heading2"/>
      </w:pPr>
      <w:r>
        <w:t xml:space="preserve">Synthesize</w:t>
      </w:r>
    </w:p>
    <w:p>
      <w:pPr>
        <w:pStyle w:val="FirstParagraph"/>
      </w:pPr>
      <w:r>
        <w:t xml:space="preserve">Confirm the reframe with the audience if possible.</w:t>
      </w:r>
      <w:r>
        <w:t xml:space="preserve"> </w:t>
      </w:r>
      <w:r>
        <w:rPr>
          <w:b/>
          <w:bCs/>
        </w:rPr>
        <w:t xml:space="preserve">The analyst should not silently swap the question for the audience</w:t>
      </w:r>
      <w:r>
        <w:t xml:space="preserve"> </w:t>
      </w:r>
      <w:r>
        <w:t xml:space="preserve">— the swap is a defensible move only when it is named.</w:t>
      </w:r>
    </w:p>
    <w:p>
      <w:pPr>
        <w:pStyle w:val="BodyText"/>
      </w:pPr>
      <w:r>
        <w:t xml:space="preserve">If the swap cannot be confirmed in advance (the question came in via email; the meeting starts in five minutes), proceed and surface the reframe explicitly at delivery time:</w:t>
      </w:r>
      <w:r>
        <w:t xml:space="preserve"> </w:t>
      </w:r>
      <w:r>
        <w:rPr>
          <w:i/>
          <w:iCs/>
        </w:rPr>
        <w:t xml:space="preserve">“You asked why; I’ve prepared the what. Here are the denial reasons that drove the rise. The why behind those reasons is my reading, not the data’s claim.”</w:t>
      </w:r>
    </w:p>
    <w:bookmarkEnd w:id="11"/>
    <w:bookmarkStart w:id="12" w:name="augment"/>
    <w:p>
      <w:pPr>
        <w:pStyle w:val="Heading2"/>
      </w:pPr>
      <w:r>
        <w:t xml:space="preserve">Augment</w:t>
      </w:r>
    </w:p>
    <w:p>
      <w:pPr>
        <w:pStyle w:val="FirstParagraph"/>
      </w:pPr>
      <w:r>
        <w:t xml:space="preserve">Generate the</w:t>
      </w:r>
      <w:r>
        <w:t xml:space="preserve"> </w:t>
      </w:r>
      <w:r>
        <w:rPr>
          <w:i/>
          <w:iCs/>
        </w:rPr>
        <w:t xml:space="preserve">what</w:t>
      </w:r>
      <w:r>
        <w:t xml:space="preserve"> </w:t>
      </w:r>
      <w:r>
        <w:t xml:space="preserve">artifact. In the denials example: the chart shows top denial reasons ranked by contribution to the March rise.</w:t>
      </w:r>
    </w:p>
    <w:bookmarkEnd w:id="12"/>
    <w:bookmarkStart w:id="14" w:name="X247f8b8ff29996de4aa153aa4e4cbefe4e60f16"/>
    <w:p>
      <w:pPr>
        <w:pStyle w:val="Heading2"/>
      </w:pPr>
      <w:r>
        <w:t xml:space="preserve">Refine (corrections named by the chapter’s pattern catalog)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Pattern 1 (hallucinated insights)</w:t>
      </w:r>
      <w:r>
        <w:t xml:space="preserve">: Confirm each top reason against the source-of-truth denial log. If the visual shows a denial reason that doesn’t exist in the operational system, the visual is hallucinating — fix at the data layer before letting the chart ship.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Pattern 4 (confidently wrong narratives)</w:t>
      </w:r>
      <w:r>
        <w:t xml:space="preserve">: Read the Smart Narrative against the BRD’s takeaway. If the narrative implies causation the data does not support,</w:t>
      </w:r>
      <w:r>
        <w:t xml:space="preserve"> </w:t>
      </w:r>
      <w:r>
        <w:rPr>
          <w:b/>
          <w:bCs/>
        </w:rPr>
        <w:t xml:space="preserve">rewrite or remove the narrative entirely</w:t>
      </w:r>
      <w:r>
        <w:t xml:space="preserve">. Copilot’s natural language tends toward causal phrasing even when the underlying analysis is purely descriptive.</w:t>
      </w:r>
    </w:p>
    <w:p>
      <w:pPr>
        <w:pStyle w:val="FirstParagraph"/>
      </w:pPr>
      <w:r>
        <w:t xml:space="preserve">See the</w:t>
      </w:r>
      <w:r>
        <w:t xml:space="preserve"> </w:t>
      </w:r>
      <w:hyperlink r:id="rId13">
        <w:r>
          <w:rPr>
            <w:rStyle w:val="Hyperlink"/>
          </w:rPr>
          <w:t xml:space="preserve">companion to Chapter 13</w:t>
        </w:r>
      </w:hyperlink>
      <w:r>
        <w:t xml:space="preserve"> </w:t>
      </w:r>
      <w:r>
        <w:t xml:space="preserve">for the full eight-pattern failure-mode catalog.</w:t>
      </w:r>
    </w:p>
    <w:bookmarkEnd w:id="14"/>
    <w:bookmarkStart w:id="15" w:name="ship-decision"/>
    <w:p>
      <w:pPr>
        <w:pStyle w:val="Heading2"/>
      </w:pPr>
      <w:r>
        <w:t xml:space="preserve">Ship decision</w:t>
      </w:r>
    </w:p>
    <w:p>
      <w:pPr>
        <w:pStyle w:val="FirstParagraph"/>
      </w:pPr>
      <w:r>
        <w:t xml:space="preserve">Ship the</w:t>
      </w:r>
      <w:r>
        <w:t xml:space="preserve"> </w:t>
      </w:r>
      <w:r>
        <w:rPr>
          <w:i/>
          <w:iCs/>
        </w:rPr>
        <w:t xml:space="preserve">what</w:t>
      </w:r>
      <w:r>
        <w:t xml:space="preserve"> </w:t>
      </w:r>
      <w:r>
        <w:t xml:space="preserve">artifact alongside a one-sentence note that</w:t>
      </w:r>
      <w:r>
        <w:t xml:space="preserve"> </w:t>
      </w:r>
      <w:r>
        <w:rPr>
          <w:b/>
          <w:bCs/>
        </w:rPr>
        <w:t xml:space="preserve">names the causal interpretation as the analyst’s reading of the data rather than the data’s own claim</w:t>
      </w:r>
      <w:r>
        <w:t xml:space="preserve">. The note is the difference between a defensible artifact and one that quietly attributes the analyst’s interpretation to the chart.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When to use this prompt</w:t>
      </w:r>
      <w:r>
        <w:t xml:space="preserve">: The stakeholder asked a causal question (</w:t>
      </w:r>
      <w:r>
        <w:rPr>
          <w:i/>
          <w:iCs/>
        </w:rPr>
        <w:t xml:space="preserve">why</w:t>
      </w:r>
      <w:r>
        <w:t xml:space="preserve">,</w:t>
      </w:r>
      <w:r>
        <w:t xml:space="preserve"> </w:t>
      </w:r>
      <w:r>
        <w:rPr>
          <w:i/>
          <w:iCs/>
        </w:rPr>
        <w:t xml:space="preserve">what’s the reason for</w:t>
      </w:r>
      <w:r>
        <w:t xml:space="preserve">,</w:t>
      </w:r>
      <w:r>
        <w:t xml:space="preserve"> </w:t>
      </w:r>
      <w:r>
        <w:rPr>
          <w:i/>
          <w:iCs/>
        </w:rPr>
        <w:t xml:space="preserve">what caused</w:t>
      </w:r>
      <w:r>
        <w:t xml:space="preserve">). This pattern applies regardless of whether the eventual artifact is a Copilot-generated report (Ch 9), an AI visual (Ch 10), a Q&amp;A answer (Ch 11), or a hand-built chart (Part I). It is the most cross-cutting prompt in the library.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/ch/1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/ch/1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2026-07-24T15:21:20Z</dcterms:created>
  <dcterms:modified xsi:type="dcterms:W3CDTF">2026-07-24T15:21:20Z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