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X0b29e9496c6e96e0c771b9f409fcf47891b3853"/>
    <w:p>
      <w:pPr>
        <w:pStyle w:val="Heading1"/>
      </w:pPr>
      <w:r>
        <w:t xml:space="preserve">Prompt 9 — Recognise a Vibe-Charting Session in Progress</w:t>
      </w:r>
    </w:p>
    <w:p>
      <w:pPr>
        <w:pStyle w:val="BlockText"/>
      </w:pPr>
      <w:r>
        <w:t xml:space="preserve">Adapted from Chapter 13 (Yuki worked example, 1:47 a.m. dashboard polish). A diagnostic entry: the prompt sequence that produces vibe charting, and the disciplined alternative that ships the same intent without the failure mode.</w:t>
      </w:r>
    </w:p>
    <w:p>
      <w:pPr>
        <w:pStyle w:val="BlockText"/>
      </w:pPr>
      <w:r>
        <w:rPr>
          <w:b/>
          <w:bCs/>
        </w:rPr>
        <w:t xml:space="preserve">Verified against</w:t>
      </w:r>
      <w:r>
        <w:t xml:space="preserve">: Power BI Copilot, June 2026 surface (any style-generation prompt cycle)</w:t>
      </w:r>
    </w:p>
    <w:bookmarkStart w:id="9" w:name="the-pattern-this-entry-is-about"/>
    <w:p>
      <w:pPr>
        <w:pStyle w:val="Heading2"/>
      </w:pPr>
      <w:r>
        <w:t xml:space="preserve">The pattern this entry is about</w:t>
      </w:r>
    </w:p>
    <w:p>
      <w:pPr>
        <w:pStyle w:val="FirstParagraph"/>
      </w:pPr>
      <w:r>
        <w:t xml:space="preserve">Unlike the other entries in this library, this one is</w:t>
      </w:r>
      <w:r>
        <w:t xml:space="preserve"> </w:t>
      </w:r>
      <w:r>
        <w:rPr>
          <w:i/>
          <w:iCs/>
        </w:rPr>
        <w:t xml:space="preserve">diagnostic</w:t>
      </w:r>
      <w:r>
        <w:t xml:space="preserve">: it shows both the failure mode and the disciplined alternative side-by-side. Chapter 13’s five diagnostics identify vibe-charting sessions; this entry shows what the same session looks like when it is not vibe-charted.</w:t>
      </w:r>
    </w:p>
    <w:bookmarkEnd w:id="9"/>
    <w:bookmarkStart w:id="10" w:name="the-failure-prompt-roulette"/>
    <w:p>
      <w:pPr>
        <w:pStyle w:val="Heading2"/>
      </w:pPr>
      <w:r>
        <w:t xml:space="preserve">The failure — prompt roulette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Crystallize (round 1)</w:t>
      </w:r>
      <w:r>
        <w:t xml:space="preserve">:</w:t>
      </w:r>
      <w:r>
        <w:t xml:space="preserve"> </w:t>
      </w:r>
      <w:r>
        <w:rPr>
          <w:i/>
          <w:iCs/>
        </w:rPr>
        <w:t xml:space="preserve">“Make it look better.”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Augment</w:t>
      </w:r>
      <w:r>
        <w:t xml:space="preserve">: Copilot returns rounded corners, a soft blue palette, and a card layout.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Refine (round 2)</w:t>
      </w:r>
      <w:r>
        <w:t xml:space="preserve">:</w:t>
      </w:r>
      <w:r>
        <w:t xml:space="preserve"> </w:t>
      </w:r>
      <w:r>
        <w:rPr>
          <w:i/>
          <w:iCs/>
        </w:rPr>
        <w:t xml:space="preserve">“Warmer.”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Augment</w:t>
      </w:r>
      <w:r>
        <w:t xml:space="preserve">: Palette shifts warmer.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Refine (round 3)</w:t>
      </w:r>
      <w:r>
        <w:t xml:space="preserve">:</w:t>
      </w:r>
      <w:r>
        <w:t xml:space="preserve"> </w:t>
      </w:r>
      <w:r>
        <w:rPr>
          <w:i/>
          <w:iCs/>
        </w:rPr>
        <w:t xml:space="preserve">“Less corporate.”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Augment</w:t>
      </w:r>
      <w:r>
        <w:t xml:space="preserve">: Softer typography, more whitespace.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Refine (round 4)</w:t>
      </w:r>
      <w:r>
        <w:t xml:space="preserve">:</w:t>
      </w:r>
      <w:r>
        <w:t xml:space="preserve"> </w:t>
      </w:r>
      <w:r>
        <w:rPr>
          <w:i/>
          <w:iCs/>
        </w:rPr>
        <w:t xml:space="preserve">“More like the Stripe dashboard but not exactly.”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Augment</w:t>
      </w:r>
      <w:r>
        <w:t xml:space="preserve">: Final version; shipped as-is.</w:t>
      </w:r>
    </w:p>
    <w:p>
      <w:pPr>
        <w:pStyle w:val="FirstParagraph"/>
      </w:pPr>
      <w:r>
        <w:rPr>
          <w:b/>
          <w:bCs/>
        </w:rPr>
        <w:t xml:space="preserve">Ship decision (the failure)</w:t>
      </w:r>
      <w:r>
        <w:t xml:space="preserve">: Shipped in under a minute after the fourth render, on the strength of</w:t>
      </w:r>
      <w:r>
        <w:t xml:space="preserve"> </w:t>
      </w:r>
      <w:r>
        <w:rPr>
          <w:i/>
          <w:iCs/>
        </w:rPr>
        <w:t xml:space="preserve">it feels right</w:t>
      </w:r>
      <w:r>
        <w:t xml:space="preserve">. All five diagnostics fire — ambiguity burden held entirely by the analyst; no oracle; acceptance rate near 1.0 with zero verification prompts and sub-thirty-second decision; four rerolls with no repair; over-reliance signals all present.</w:t>
      </w:r>
    </w:p>
    <w:p>
      <w:pPr>
        <w:pStyle w:val="BodyText"/>
      </w:pPr>
      <w:r>
        <w:t xml:space="preserve">The WCAG 4.5:1 contrast standard was an available oracle. Yuki did not consult it. The final dashboard ships at 3.1:1 contrast — inaccessible to a nontrivial fraction of the audience — and nobody catches it because nobody checks.</w:t>
      </w:r>
    </w:p>
    <w:bookmarkEnd w:id="10"/>
    <w:bookmarkStart w:id="11" w:name="X92baa9e5e688d0650a79e3e38090a52cd386e57"/>
    <w:p>
      <w:pPr>
        <w:pStyle w:val="Heading2"/>
      </w:pPr>
      <w:r>
        <w:t xml:space="preserve">The disciplined alternative — same intent, criteria-anchored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Crystallize</w:t>
      </w:r>
      <w:r>
        <w:t xml:space="preserve">:</w:t>
      </w:r>
      <w:r>
        <w:t xml:space="preserve"> </w:t>
      </w:r>
      <w:r>
        <w:rPr>
          <w:i/>
          <w:iCs/>
        </w:rPr>
        <w:t xml:space="preserve">“Rebuild the dashboard’s visual style so it satisfies three specific criteria: (1) all body text meets the WCAG 4.5:1 contrast threshold, verified by the Coblis simulator or an equivalent; (2) one accent colour used once per Chapter 5’s ink budget, on the primary KPI; (3) the primary KPI is visually dominant per Chapter 12’s blurred-thumbnail test, meaning at desktop and mobile widths the primary is the first thing the eye lands on.”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Synthesize</w:t>
      </w:r>
      <w:r>
        <w:t xml:space="preserve">: Copilot restates the three criteria and names one it inferred (the accent will be applied to the primary KPI card and to nothing else). Confirm.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Augment</w:t>
      </w:r>
      <w:r>
        <w:t xml:space="preserve">: Copilot returns a version that meets each criterion.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Refine</w:t>
      </w:r>
      <w:r>
        <w:t xml:space="preserve">: Check each criterion explicitly — run the contrast simulator on all body text, count the accent-colour uses, run the blurred-thumbnail test at desktop and mobile widths.</w:t>
      </w:r>
    </w:p>
    <w:p>
      <w:pPr>
        <w:pStyle w:val="FirstParagraph"/>
      </w:pPr>
      <w:r>
        <w:rPr>
          <w:b/>
          <w:bCs/>
        </w:rPr>
        <w:t xml:space="preserve">Ship decision (the disciplined version)</w:t>
      </w:r>
      <w:r>
        <w:t xml:space="preserve">: Ship with a three-line defensibility bundle: the criteria the redesign was built to, the check that passed each one, and the accessibility standard cited. Roughly the same total time as the reroll sequence; the acceptance is now auditable rather than felt.</w:t>
      </w:r>
    </w:p>
    <w:bookmarkEnd w:id="11"/>
    <w:bookmarkStart w:id="14" w:name="diagnostic-quick-check"/>
    <w:p>
      <w:pPr>
        <w:pStyle w:val="Heading2"/>
      </w:pPr>
      <w:r>
        <w:t xml:space="preserve">Diagnostic quick-check</w:t>
      </w:r>
    </w:p>
    <w:p>
      <w:pPr>
        <w:pStyle w:val="FirstParagraph"/>
      </w:pPr>
      <w:r>
        <w:t xml:space="preserve">Before shipping any AI-generated visual style, ask:</w:t>
      </w:r>
    </w:p>
    <w:p>
      <w:pPr>
        <w:pStyle w:val="BlockText"/>
      </w:pPr>
      <w:r>
        <w:rPr>
          <w:b/>
          <w:bCs/>
        </w:rPr>
        <w:t xml:space="preserve">Could I turn my last prompt into a stated pass/fail criterion?</w:t>
      </w:r>
    </w:p>
    <w:p>
      <w:pPr>
        <w:pStyle w:val="FirstParagraph"/>
      </w:pPr>
      <w:r>
        <w:t xml:space="preserve">If the answer is</w:t>
      </w:r>
      <w:r>
        <w:t xml:space="preserve"> </w:t>
      </w:r>
      <w:r>
        <w:rPr>
          <w:i/>
          <w:iCs/>
        </w:rPr>
        <w:t xml:space="preserve">“I would have to think about what correct even means here,”</w:t>
      </w:r>
      <w:r>
        <w:t xml:space="preserve"> </w:t>
      </w:r>
      <w:r>
        <w:t xml:space="preserve">the prompt is a reroll and the acceptance is a feeling. Every subsequent verification step becomes optional in practice, and the ship decision is a vibe.</w:t>
      </w:r>
    </w:p>
    <w:p>
      <w:pPr>
        <w:pStyle w:val="BodyText"/>
      </w:pPr>
      <w:r>
        <w:t xml:space="preserve">See the</w:t>
      </w:r>
      <w:r>
        <w:t xml:space="preserve"> </w:t>
      </w:r>
      <w:hyperlink r:id="rId12">
        <w:r>
          <w:rPr>
            <w:rStyle w:val="Hyperlink"/>
          </w:rPr>
          <w:t xml:space="preserve">companion to Chapter 13</w:t>
        </w:r>
      </w:hyperlink>
      <w:r>
        <w:t xml:space="preserve"> </w:t>
      </w:r>
      <w:r>
        <w:t xml:space="preserve">for the full five-diagnostics + four-failure-mode treatment.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When to use this prompt</w:t>
      </w:r>
      <w:r>
        <w:t xml:space="preserve">: Before opening a style-generation prompt cycle, or when catching yourself mid-cycle. The distinction is not the tool or the surface — it is the presence or absence of a stated criterion the output can be checked against.</w:t>
      </w:r>
    </w:p>
    <w:p>
      <w:pPr>
        <w:pStyle w:val="BodyText"/>
      </w:pPr>
      <w:r>
        <w:rPr>
          <w:b/>
          <w:bCs/>
        </w:rPr>
        <w:t xml:space="preserve">Dataset</w:t>
      </w:r>
      <w:r>
        <w:t xml:space="preserve">:</w:t>
      </w:r>
      <w:r>
        <w:t xml:space="preserve"> </w:t>
      </w:r>
      <w:hyperlink r:id="rId13">
        <w:r>
          <w:rPr>
            <w:rStyle w:val="Hyperlink"/>
          </w:rPr>
          <w:t xml:space="preserve">yuki-session</w:t>
        </w:r>
      </w:hyperlink>
      <w:r>
        <w:t xml:space="preserve"> </w:t>
      </w:r>
      <w:r>
        <w:t xml:space="preserve">— the annotated four-prompt session with the failing-diagnostic scorecard.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/ch/13/" TargetMode="External" /><Relationship Type="http://schemas.openxmlformats.org/officeDocument/2006/relationships/hyperlink" Id="rId13" Target="/datasets/yuki-session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/ch/13/" TargetMode="External" /><Relationship Type="http://schemas.openxmlformats.org/officeDocument/2006/relationships/hyperlink" Id="rId13" Target="/datasets/yuki-session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2026-07-24T15:21:20Z</dcterms:created>
  <dcterms:modified xsi:type="dcterms:W3CDTF">2026-07-24T15:21:20Z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