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prompt-8-build-a-dashboard-from-a-brief"/>
    <w:p>
      <w:pPr>
        <w:pStyle w:val="Heading1"/>
      </w:pPr>
      <w:r>
        <w:t xml:space="preserve">Prompt 8 — Build a Dashboard from a Brief</w:t>
      </w:r>
    </w:p>
    <w:p>
      <w:pPr>
        <w:pStyle w:val="BlockText"/>
      </w:pPr>
      <w:r>
        <w:t xml:space="preserve">Adapted from Chapter 12 (Rohan worked example, executive dashboard). The CSAR-loop entry point for full-page dashboards anchored on a primary KPI.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BlockText"/>
      </w:pPr>
      <w:r>
        <w:t xml:space="preserve">“Build me an executive dashboard for the services-revenue model with services-revenue-vs-plan as the single headline number, spanning the top of the page; four supporting visuals below; takeaway on whether we are on track for the quarter.”</w:t>
      </w:r>
    </w:p>
    <w:p>
      <w:pPr>
        <w:pStyle w:val="FirstParagraph"/>
      </w:pPr>
      <w:r>
        <w:t xml:space="preserve">The Crystallize move names: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Primary KPI</w:t>
      </w:r>
      <w:r>
        <w:t xml:space="preserve"> </w:t>
      </w:r>
      <w:r>
        <w:t xml:space="preserve">(services-revenue-vs-plan)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Layout intent</w:t>
      </w:r>
      <w:r>
        <w:t xml:space="preserve"> </w:t>
      </w:r>
      <w:r>
        <w:t xml:space="preserve">(single full-width headline + four supporting)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Takeaway anchor</w:t>
      </w:r>
      <w:r>
        <w:t xml:space="preserve"> </w:t>
      </w:r>
      <w:r>
        <w:t xml:space="preserve">(are we on track for the quarter)</w:t>
      </w:r>
    </w:p>
    <w:p>
      <w:pPr>
        <w:pStyle w:val="FirstParagraph"/>
      </w:pPr>
      <w:r>
        <w:t xml:space="preserve">When any of these three is missing, Copilot defaults to its own composition heuristics — which favor more visuals over fewer.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Copilot restates the primary KPI position, the four-visual lower row, the takeaway anchor. Confirm.</w:t>
      </w:r>
    </w:p>
    <w:p>
      <w:pPr>
        <w:pStyle w:val="BodyText"/>
      </w:pPr>
      <w:r>
        <w:t xml:space="preserve">If the restatement adds more than four supporting visuals, push back at the restatement turn rather than waiting for the Augment output. Copilot’s tendency to add is the 5-Visual Rule’s primary adversary.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Expect Copilot to return more than five visuals despite the Crystallize/Synthesize agreement — in the Rohan case, nine visuals (two cards across the top, a line chart, a stacked bar, a donut, a small map, two tables, and a Smart Narrative paragraph). This is normal. The discipline is in the Refine phase.</w:t>
      </w:r>
    </w:p>
    <w:bookmarkEnd w:id="11"/>
    <w:bookmarkStart w:id="13" w:name="X76adac7c19d7b373d6a9df96c3c0a0818dc6f6f"/>
    <w:p>
      <w:pPr>
        <w:pStyle w:val="Heading2"/>
      </w:pPr>
      <w:r>
        <w:t xml:space="preserve">Refine (corrections named by the chapter’s rubric)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5-Visual Rule</w:t>
      </w:r>
      <w:r>
        <w:t xml:space="preserve"> </w:t>
      </w:r>
      <w:r>
        <w:t xml:space="preserve">(Ch 12 anchor): the page has too many visuals. The work is</w:t>
      </w:r>
      <w:r>
        <w:t xml:space="preserve"> </w:t>
      </w:r>
      <w:r>
        <w:rPr>
          <w:b/>
          <w:bCs/>
        </w:rPr>
        <w:t xml:space="preserve">removal</w:t>
      </w:r>
      <w:r>
        <w:t xml:space="preserve">, not addition. Cut to five.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 4 (chart-family fit)</w:t>
      </w:r>
      <w:r>
        <w:t xml:space="preserve">: identify the redundant visuals (in the Rohan case: the donut and the small map duplicated the supporting bar). Cut redundant visuals before considering layout.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Different-question visuals</w:t>
      </w:r>
      <w:r>
        <w:t xml:space="preserve">: a table or chart that answers a different question than the primary KPI is not a supporting visual — it is a different page. Cut.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Hierarchy</w:t>
      </w:r>
      <w:r>
        <w:t xml:space="preserve">: the redundant primary KPI cards become one full-width primary KPI; the remaining supporting visuals share the bottom row at equal smaller sizes.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Composition</w:t>
      </w:r>
      <w:r>
        <w:t xml:space="preserve">: remove brand-accent color from the supporting visuals; let the primary KPI alone carry the accent. Color discipline is what makes hierarchy visible.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Mobile</w:t>
      </w:r>
      <w:r>
        <w:t xml:space="preserve">: open mobile preview; pin a three-visual phone-specific layout (primary KPI, variance card, narrative). Mobile is not desktop in miniature.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2">
        <w:r>
          <w:rPr>
            <w:rStyle w:val="Hyperlink"/>
          </w:rPr>
          <w:t xml:space="preserve">companion to Chapter 12</w:t>
        </w:r>
      </w:hyperlink>
      <w:r>
        <w:t xml:space="preserve"> </w:t>
      </w:r>
      <w:r>
        <w:t xml:space="preserve">for the dashboard-composition treatment.</w:t>
      </w:r>
    </w:p>
    <w:bookmarkEnd w:id="13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when the</w:t>
      </w:r>
      <w:r>
        <w:t xml:space="preserve"> </w:t>
      </w:r>
      <w:r>
        <w:rPr>
          <w:b/>
          <w:bCs/>
        </w:rPr>
        <w:t xml:space="preserve">blurred-thumbnail test</w:t>
      </w:r>
      <w:r>
        <w:t xml:space="preserve"> </w:t>
      </w:r>
      <w:r>
        <w:t xml:space="preserve">shows a clear primary, a clear supporting cluster, and visible white space. The blurred-thumbnail test is the most honest test of hierarchy because it removes the legibility of individual elements and shows the page’s actual visual structure.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need a full-page dashboard anchored on a single primary KPI with supporting context. The discipline is in resisting Copilot’s tendency to add and in cutting until the page reads cleanly at thumbnail size.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4">
        <w:r>
          <w:rPr>
            <w:rStyle w:val="Hyperlink"/>
          </w:rPr>
          <w:t xml:space="preserve">rohan-services-dashboard</w:t>
        </w:r>
      </w:hyperlink>
      <w:r>
        <w:t xml:space="preserve"> </w:t>
      </w:r>
      <w:r>
        <w:t xml:space="preserve">— download CSV + JSON to reproduce the Rohan 9-visual → 5-visual rebuild end-to-end.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12/" TargetMode="External" /><Relationship Type="http://schemas.openxmlformats.org/officeDocument/2006/relationships/hyperlink" Id="rId14" Target="/datasets/rohan-services-dashboard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12/" TargetMode="External" /><Relationship Type="http://schemas.openxmlformats.org/officeDocument/2006/relationships/hyperlink" Id="rId14" Target="/datasets/rohan-services-dashboard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2026-07-24T15:21:20Z</dcterms:created>
  <dcterms:modified xsi:type="dcterms:W3CDTF">2026-07-24T15:21:20Z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