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8" w:name="prompt-7-ask-a-question-of-the-data"/>
    <w:p>
      <w:pPr>
        <w:pStyle w:val="Heading1"/>
      </w:pPr>
      <w:r>
        <w:t xml:space="preserve">Prompt 7 — Ask a Question of the Data</w:t>
      </w:r>
    </w:p>
    <w:p>
      <w:pPr>
        <w:pStyle w:val="BlockText"/>
      </w:pPr>
      <w:r>
        <w:t xml:space="preserve">Adapted from Chapter 11 (Mei worked example, revenue-cycle model, before and after Prep for AI). The pattern for the natural-language Q&amp;A surface — and the demonstration of why Prep for AI matters.</w:t>
      </w:r>
    </w:p>
    <w:p>
      <w:pPr>
        <w:pStyle w:val="BlockText"/>
      </w:pPr>
      <w:r>
        <w:rPr>
          <w:b/>
          <w:bCs/>
        </w:rPr>
        <w:t xml:space="preserve">Verified against</w:t>
      </w:r>
      <w:r>
        <w:t xml:space="preserve">: Power BI Copilot, June 2026 surface (Q&amp;A successor in Copilot for Power BI)</w:t>
      </w:r>
    </w:p>
    <w:bookmarkStart w:id="9" w:name="X34e056d9f21114ae2f32769038e5cc9b17ffc70"/>
    <w:p>
      <w:pPr>
        <w:pStyle w:val="Heading2"/>
      </w:pPr>
      <w:r>
        <w:t xml:space="preserve">Crystallize, first pass (before Prep for AI)</w:t>
      </w:r>
    </w:p>
    <w:p>
      <w:pPr>
        <w:pStyle w:val="BlockText"/>
      </w:pPr>
      <w:r>
        <w:t xml:space="preserve">“What was net patient revenue by service line last quarter?”</w:t>
      </w:r>
    </w:p>
    <w:bookmarkEnd w:id="9"/>
    <w:bookmarkStart w:id="10" w:name="augment-first-pass"/>
    <w:p>
      <w:pPr>
        <w:pStyle w:val="Heading2"/>
      </w:pPr>
      <w:r>
        <w:t xml:space="preserve">Augment, first pass</w:t>
      </w:r>
    </w:p>
    <w:p>
      <w:pPr>
        <w:pStyle w:val="FirstParagraph"/>
      </w:pPr>
      <w:r>
        <w:t xml:space="preserve">Copilot returns a number grouped by an</w:t>
      </w:r>
      <w:r>
        <w:t xml:space="preserve"> </w:t>
      </w:r>
      <w:r>
        <w:rPr>
          <w:b/>
          <w:bCs/>
        </w:rPr>
        <w:t xml:space="preserve">internal join-key field name</w:t>
      </w:r>
      <w:r>
        <w:t xml:space="preserve"> </w:t>
      </w:r>
      <w:r>
        <w:t xml:space="preserve">rather than the human-readable service-line name. The answer is technically correct but operationally unusable — the audience cannot map the join-key labels to the service lines they know.</w:t>
      </w:r>
    </w:p>
    <w:bookmarkEnd w:id="10"/>
    <w:bookmarkStart w:id="12" w:name="refine-first-pass"/>
    <w:p>
      <w:pPr>
        <w:pStyle w:val="Heading2"/>
      </w:pPr>
      <w:r>
        <w:t xml:space="preserve">Refine, first pass</w:t>
      </w:r>
    </w:p>
    <w:p>
      <w:pPr>
        <w:pStyle w:val="FirstParagraph"/>
      </w:pPr>
      <w:r>
        <w:t xml:space="preserve">The failure mode is</w:t>
      </w:r>
      <w:r>
        <w:t xml:space="preserve"> </w:t>
      </w:r>
      <w:r>
        <w:rPr>
          <w:b/>
          <w:bCs/>
        </w:rPr>
        <w:t xml:space="preserve">field-name ambiguity</w:t>
      </w:r>
      <w:r>
        <w:t xml:space="preserve">. The model has multiple fields that could match</w:t>
      </w:r>
      <w:r>
        <w:t xml:space="preserve"> </w:t>
      </w:r>
      <w:r>
        <w:t xml:space="preserve">“service line,”</w:t>
      </w:r>
      <w:r>
        <w:t xml:space="preserve"> </w:t>
      </w:r>
      <w:r>
        <w:t xml:space="preserve">and without disambiguation, Copilot picks the wrong one. Fix the failure at the model layer, not in the prompt: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AI data schema</w:t>
      </w:r>
      <w:r>
        <w:t xml:space="preserve">: deselect ambiguous fields (the internal join-key column should not be exposed to Copilot at all)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Verified answers</w:t>
      </w:r>
      <w:r>
        <w:t xml:space="preserve">: pin five canonical answers (revenue by service line, revenue by month, etc.) so Copilot’s first answer to a common question is the verified 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AI instructions brief</w:t>
      </w:r>
      <w:r>
        <w:t xml:space="preserve">: write the brief that tells Copilot how to name service-line groupings (human-readable, not join-key)</w:t>
      </w:r>
    </w:p>
    <w:p>
      <w:pPr>
        <w:pStyle w:val="FirstParagraph"/>
      </w:pPr>
      <w:r>
        <w:t xml:space="preserve">See the</w:t>
      </w:r>
      <w:r>
        <w:t xml:space="preserve"> </w:t>
      </w:r>
      <w:hyperlink r:id="rId11">
        <w:r>
          <w:rPr>
            <w:rStyle w:val="Hyperlink"/>
          </w:rPr>
          <w:t xml:space="preserve">companion to Chapter 11</w:t>
        </w:r>
      </w:hyperlink>
      <w:r>
        <w:t xml:space="preserve"> </w:t>
      </w:r>
      <w:r>
        <w:t xml:space="preserve">for the three configurable surfaces this Prep-for-AI pass touches.</w:t>
      </w:r>
    </w:p>
    <w:bookmarkEnd w:id="12"/>
    <w:bookmarkStart w:id="13" w:name="X4f76506a6c33155ad5c5708d99630478cf259ce"/>
    <w:p>
      <w:pPr>
        <w:pStyle w:val="Heading2"/>
      </w:pPr>
      <w:r>
        <w:t xml:space="preserve">Crystallize, second pass (after Prep for AI)</w:t>
      </w:r>
    </w:p>
    <w:p>
      <w:pPr>
        <w:pStyle w:val="BlockText"/>
      </w:pPr>
      <w:r>
        <w:t xml:space="preserve">“What was net patient revenue by service line last quarter?”</w:t>
      </w:r>
      <w:r>
        <w:t xml:space="preserve"> </w:t>
      </w:r>
      <w:r>
        <w:rPr>
          <w:i/>
          <w:iCs/>
        </w:rPr>
        <w:t xml:space="preserve">(same prompt as first pass)</w:t>
      </w:r>
    </w:p>
    <w:bookmarkEnd w:id="13"/>
    <w:bookmarkStart w:id="14" w:name="augment-second-pass"/>
    <w:p>
      <w:pPr>
        <w:pStyle w:val="Heading2"/>
      </w:pPr>
      <w:r>
        <w:t xml:space="preserve">Augment, second pass</w:t>
      </w:r>
    </w:p>
    <w:p>
      <w:pPr>
        <w:pStyle w:val="FirstParagraph"/>
      </w:pPr>
      <w:r>
        <w:t xml:space="preserve">Copilot returns the number grouped by the</w:t>
      </w:r>
      <w:r>
        <w:t xml:space="preserve"> </w:t>
      </w:r>
      <w:r>
        <w:rPr>
          <w:b/>
          <w:bCs/>
        </w:rPr>
        <w:t xml:space="preserve">human-readable service-line name</w:t>
      </w:r>
      <w:r>
        <w:t xml:space="preserve">, using the right measure, matching the finance close to within rounding.</w:t>
      </w:r>
    </w:p>
    <w:bookmarkEnd w:id="14"/>
    <w:bookmarkStart w:id="15" w:name="X5bac292c116dc7694d06059ae4a4e267e2fcd4b"/>
    <w:p>
      <w:pPr>
        <w:pStyle w:val="Heading2"/>
      </w:pPr>
      <w:r>
        <w:t xml:space="preserve">Confirmation turn (the chapter’s verification move)</w:t>
      </w:r>
    </w:p>
    <w:p>
      <w:pPr>
        <w:pStyle w:val="BlockText"/>
      </w:pPr>
      <w:r>
        <w:t xml:space="preserve">“Confirm what measure you used and what grain you returned the answer at.”</w:t>
      </w:r>
    </w:p>
    <w:p>
      <w:pPr>
        <w:pStyle w:val="FirstParagraph"/>
      </w:pPr>
      <w:r>
        <w:t xml:space="preserve">Copilot restates the measure as</w:t>
      </w:r>
      <w:r>
        <w:t xml:space="preserve"> </w:t>
      </w:r>
      <w:r>
        <w:rPr>
          <w:rStyle w:val="VerbatimChar"/>
        </w:rPr>
        <w:t xml:space="preserve">[Net Patient Revenue]</w:t>
      </w:r>
      <w:r>
        <w:t xml:space="preserve"> </w:t>
      </w:r>
      <w:r>
        <w:t xml:space="preserve">and the grain as service line, which matches the BRD. The confirmation turn is cheap and load-bearing: it converts an implicit answer into an explicit, auditable claim.</w:t>
      </w:r>
    </w:p>
    <w:bookmarkEnd w:id="15"/>
    <w:bookmarkStart w:id="17" w:name="ship-decision"/>
    <w:p>
      <w:pPr>
        <w:pStyle w:val="Heading2"/>
      </w:pPr>
      <w:r>
        <w:t xml:space="preserve">Ship decision</w:t>
      </w:r>
    </w:p>
    <w:p>
      <w:pPr>
        <w:pStyle w:val="FirstParagraph"/>
      </w:pPr>
      <w:r>
        <w:t xml:space="preserve">Ship when the confirmation-turn restatement matches the BRD AND the answer reconciles against the finance close. Either alone is insufficient.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When to use this prompt</w:t>
      </w:r>
      <w:r>
        <w:t xml:space="preserve">: You want Copilot to answer a natural-language question against your semantic model, and you want the answer to be defensible — which means the model has to be prepped first.</w:t>
      </w:r>
      <w:r>
        <w:t xml:space="preserve"> </w:t>
      </w:r>
      <w:r>
        <w:rPr>
          <w:b/>
          <w:bCs/>
        </w:rPr>
        <w:t xml:space="preserve">The Prep-for-AI pass is the prompt</w:t>
      </w:r>
      <w:r>
        <w:t xml:space="preserve"> </w:t>
      </w:r>
      <w:r>
        <w:t xml:space="preserve">as much as the natural-language question itself.</w:t>
      </w:r>
    </w:p>
    <w:p>
      <w:pPr>
        <w:pStyle w:val="BodyText"/>
      </w:pPr>
      <w:r>
        <w:rPr>
          <w:b/>
          <w:bCs/>
        </w:rPr>
        <w:t xml:space="preserve">Dataset</w:t>
      </w:r>
      <w:r>
        <w:t xml:space="preserve">:</w:t>
      </w:r>
      <w:r>
        <w:t xml:space="preserve"> </w:t>
      </w:r>
      <w:hyperlink r:id="rId16">
        <w:r>
          <w:rPr>
            <w:rStyle w:val="Hyperlink"/>
          </w:rPr>
          <w:t xml:space="preserve">mei-revenue-cycle</w:t>
        </w:r>
      </w:hyperlink>
      <w:r>
        <w:t xml:space="preserve"> </w:t>
      </w:r>
      <w:r>
        <w:t xml:space="preserve">— download CSV + JSON to reproduce the before/after Prep-for-AI Q&amp;A pass end-to-end.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/ch/11/" TargetMode="External" /><Relationship Type="http://schemas.openxmlformats.org/officeDocument/2006/relationships/hyperlink" Id="rId16" Target="/datasets/mei-revenue-cycl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/ch/11/" TargetMode="External" /><Relationship Type="http://schemas.openxmlformats.org/officeDocument/2006/relationships/hyperlink" Id="rId16" Target="/datasets/mei-revenue-cycl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2026-07-24T15:21:20Z</dcterms:created>
  <dcterms:modified xsi:type="dcterms:W3CDTF">2026-07-24T15:21:20Z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