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1a4c27cbf09fd2d199d4c67a06083c63b9afd44"/>
    <w:p>
      <w:pPr>
        <w:pStyle w:val="Heading1"/>
      </w:pPr>
      <w:r>
        <w:t xml:space="preserve">Prompt 6 — Summarize a Report Page in Prose</w:t>
      </w:r>
    </w:p>
    <w:p>
      <w:pPr>
        <w:pStyle w:val="BlockText"/>
      </w:pPr>
      <w:r>
        <w:t xml:space="preserve">Adapted from Chapter 10 (Asha’s Smart Narrative pass, Fig 10.4). The pattern for the Smart Narrative AI visual.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(Smart Narrative visual bound to a report page)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FirstParagraph"/>
      </w:pPr>
      <w:r>
        <w:t xml:space="preserve">Smart Narrative has no Crystallize prompt in the conversational sense. The Crystallize work is: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decision to place a Smart Narrative on the page</w:t>
      </w:r>
      <w:r>
        <w:t xml:space="preserve"> </w:t>
      </w:r>
      <w:r>
        <w:t xml:space="preserve">and bind it to the visuals there.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BRD-authored one-sentence takeaway</w:t>
      </w:r>
      <w:r>
        <w:t xml:space="preserve"> </w:t>
      </w:r>
      <w:r>
        <w:t xml:space="preserve">— the sentence you already know the page needs to communicate. This is the Crystallize move most often skipped. Without a BRD takeaway written down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visual generates, there is nothing to align the paragraph against.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No conversation in this surface. The stand-in: write the BRD takeaway on a note before opening the visual. In the Asha case:</w:t>
      </w:r>
      <w:r>
        <w:t xml:space="preserve"> </w:t>
      </w:r>
      <w:r>
        <w:rPr>
          <w:i/>
          <w:iCs/>
        </w:rPr>
        <w:t xml:space="preserve">“Q3 identity-ticket volume escalated 4x versus baseline because SSO/federation rollout hit day-7 SLA.”</w:t>
      </w:r>
      <w:r>
        <w:t xml:space="preserve"> </w:t>
      </w:r>
      <w:r>
        <w:t xml:space="preserve">That sentence is the oracle the paragraph will be checked against.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Smart Narrative returns a smoothly-written paragraph describing the visuals on the page. In the Asha case: the paragraph names Q3 volume increasing across all product lines, largest gains in Collaboration and Analytics, attributed to seasonality and new-customer onboarding.</w:t>
      </w:r>
      <w:r>
        <w:t xml:space="preserve"> </w:t>
      </w:r>
      <w:r>
        <w:rPr>
          <w:b/>
          <w:bCs/>
        </w:rPr>
        <w:t xml:space="preserve">Every sentence is factually accurate.</w:t>
      </w:r>
    </w:p>
    <w:bookmarkEnd w:id="11"/>
    <w:bookmarkStart w:id="13" w:name="refine-per-visual-move"/>
    <w:p>
      <w:pPr>
        <w:pStyle w:val="Heading2"/>
      </w:pPr>
      <w:r>
        <w:t xml:space="preserve">Refine (per-visual move)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 10 BRD-takeaway alignment</w:t>
      </w:r>
      <w:r>
        <w:t xml:space="preserve"> </w:t>
      </w:r>
      <w:r>
        <w:t xml:space="preserve">(the per-visual move for Smart Narrative): Read the paragraph aside from the visuals, then next to the BRD takeaway. If the two read as the same headline, ship. If they read as different headlines — in the Asha case, the narrative names a volume-and-seasonality story while the BRD asks for an escalation-and-root-cause story — the paragraph is drifting even though every sentence is true.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 9 (wrong-narrative failure mode)</w:t>
      </w:r>
      <w:r>
        <w:t xml:space="preserve">: The drift is the</w:t>
      </w:r>
      <w:r>
        <w:t xml:space="preserve"> </w:t>
      </w:r>
      <w:r>
        <w:rPr>
          <w:i/>
          <w:iCs/>
        </w:rPr>
        <w:t xml:space="preserve">foregrounded headline</w:t>
      </w:r>
      <w:r>
        <w:t xml:space="preserve"> </w:t>
      </w:r>
      <w:r>
        <w:t xml:space="preserve">— the paragraph does not need factual correction, it needs its point of emphasis rewritten.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2">
        <w:r>
          <w:rPr>
            <w:rStyle w:val="Hyperlink"/>
          </w:rPr>
          <w:t xml:space="preserve">companion to Chapter 10</w:t>
        </w:r>
      </w:hyperlink>
      <w:r>
        <w:t xml:space="preserve"> </w:t>
      </w:r>
      <w:r>
        <w:t xml:space="preserve">for the full AI-visuals treatment.</w:t>
      </w:r>
    </w:p>
    <w:bookmarkEnd w:id="13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Do not ship a drifting Smart Narrative paragraph as-is. Delete it and replace with a hand-authored one-sentence takeaway that names the specific claim your BRD asks for. In the Asha case: rewrite to name the escalation multiplier (4x), the root cause (SSO/federation rollout), and the operational lever (day-7 SLA breach point). Rewriting takes about the same time as editing the AI paragraph and produces a headline that survives the BRD-alignment check by construction.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want a prose summary of a report page. Smart Narrative is the visual most often shipped by default and most often the visual that drifts, because the drift reads correct. The BRD-alignment check is what distinguishes the discipline from accepting a smoothly-written paragraph that names the wrong headline.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4">
        <w:r>
          <w:rPr>
            <w:rStyle w:val="Hyperlink"/>
          </w:rPr>
          <w:t xml:space="preserve">asha-escalation-drivers</w:t>
        </w:r>
      </w:hyperlink>
      <w:r>
        <w:t xml:space="preserve"> </w:t>
      </w:r>
      <w:r>
        <w:t xml:space="preserve">— download CSV + JSON to reproduce the Smart Narrative pass in Power BI. Shared across all four Chapter 10 AI-visuals prompts.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2026-07-24T15:21:19Z</dcterms:created>
  <dcterms:modified xsi:type="dcterms:W3CDTF">2026-07-24T15:21:19Z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