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deaa0f556368c855b7b7aac12485015193712e4"/>
    <w:p>
      <w:pPr>
        <w:pStyle w:val="Heading1"/>
      </w:pPr>
      <w:r>
        <w:t xml:space="preserve">Prompt 4 — Detect Anomalies in a Time Series</w:t>
      </w:r>
    </w:p>
    <w:p>
      <w:pPr>
        <w:pStyle w:val="BlockText"/>
      </w:pPr>
      <w:r>
        <w:t xml:space="preserve">Adapted from Chapter 10 (Asha worked example, support-ticket volume line). The pattern for the Anomaly Detection AI visual.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 (Anomaly Detection on a line chart)</w:t>
      </w:r>
    </w:p>
    <w:bookmarkStart w:id="9" w:name="crystallize"/>
    <w:p>
      <w:pPr>
        <w:pStyle w:val="Heading2"/>
      </w:pPr>
      <w:r>
        <w:t xml:space="preserve">Crystallize</w:t>
      </w:r>
    </w:p>
    <w:p>
      <w:pPr>
        <w:pStyle w:val="FirstParagraph"/>
      </w:pPr>
      <w:r>
        <w:t xml:space="preserve">Enable Anomaly Detection on the relevant line chart with the sensitivity slider at default. The Crystallize work is in</w:t>
      </w:r>
      <w:r>
        <w:t xml:space="preserve"> </w:t>
      </w:r>
      <w:r>
        <w:rPr>
          <w:b/>
          <w:bCs/>
        </w:rPr>
        <w:t xml:space="preserve">the choice of which series to monitor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whether default sensitivity matches the metric’s underlying volatility</w:t>
      </w:r>
      <w:r>
        <w:t xml:space="preserve">.</w:t>
      </w:r>
    </w:p>
    <w:p>
      <w:pPr>
        <w:pStyle w:val="BodyText"/>
      </w:pPr>
      <w:r>
        <w:t xml:space="preserve">The discipline: Anomaly Detection’s default sensitivity is calibrated for a generic time series. Real business metrics have their own volatility signatures. Default sensitivity will flag too many points for high-variance metrics and too few for low-variance ones.</w:t>
      </w:r>
    </w:p>
    <w:bookmarkEnd w:id="9"/>
    <w:bookmarkStart w:id="10" w:name="synthesize"/>
    <w:p>
      <w:pPr>
        <w:pStyle w:val="Heading2"/>
      </w:pPr>
      <w:r>
        <w:t xml:space="preserve">Synthesize</w:t>
      </w:r>
    </w:p>
    <w:p>
      <w:pPr>
        <w:pStyle w:val="FirstParagraph"/>
      </w:pPr>
      <w:r>
        <w:t xml:space="preserve">No conversation in this surface. Treat the sensitivity-slider position as the contract; document it alongside the visual (</w:t>
      </w:r>
      <w:r>
        <w:t xml:space="preserve">“anomaly threshold: default; revisit per Ch 10 if false-positive rate &gt; 10%”</w:t>
      </w:r>
      <w:r>
        <w:t xml:space="preserve">).</w:t>
      </w:r>
    </w:p>
    <w:bookmarkEnd w:id="10"/>
    <w:bookmarkStart w:id="11" w:name="augment"/>
    <w:p>
      <w:pPr>
        <w:pStyle w:val="Heading2"/>
      </w:pPr>
      <w:r>
        <w:t xml:space="preserve">Augment</w:t>
      </w:r>
    </w:p>
    <w:p>
      <w:pPr>
        <w:pStyle w:val="FirstParagraph"/>
      </w:pPr>
      <w:r>
        <w:t xml:space="preserve">The visual flags one or more points as anomalies, with a confidence-interval band drawn around the expected range.</w:t>
      </w:r>
    </w:p>
    <w:bookmarkEnd w:id="11"/>
    <w:bookmarkStart w:id="12" w:name="refine-per-visual-move"/>
    <w:p>
      <w:pPr>
        <w:pStyle w:val="Heading2"/>
      </w:pPr>
      <w:r>
        <w:t xml:space="preserve">Refine (per-visual move)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 10 business-context check</w:t>
      </w:r>
      <w:r>
        <w:t xml:space="preserve"> </w:t>
      </w:r>
      <w:r>
        <w:t xml:space="preserve">(the per-visual move for Anomaly Detection): For each flagged anomaly, ask whether the spike or dip has a known operational explanation in the business context. In the Asha case, the flagged morning was the publicized rollout of a customer-facing identity integration — the spike was expected, not anomalous. The callout was a false positive.</w:t>
      </w:r>
    </w:p>
    <w:p>
      <w:pPr>
        <w:pStyle w:val="FirstParagraph"/>
      </w:pPr>
      <w:r>
        <w:t xml:space="preserve">A false positive is not a failure of the visual; it is a failure of context that the visual surfaces. Documenting recurring false positives is how you tune the sensitivity over time.</w:t>
      </w:r>
    </w:p>
    <w:bookmarkEnd w:id="12"/>
    <w:bookmarkStart w:id="15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Do not surface a false-positive callout. Note in the working file (or on the</w:t>
      </w:r>
      <w:r>
        <w:t xml:space="preserve"> </w:t>
      </w:r>
      <w:hyperlink r:id="rId13">
        <w:r>
          <w:rPr>
            <w:rStyle w:val="Hyperlink"/>
          </w:rPr>
          <w:t xml:space="preserve">errata page</w:t>
        </w:r>
      </w:hyperlink>
      <w:r>
        <w:t xml:space="preserve"> </w:t>
      </w:r>
      <w:r>
        <w:t xml:space="preserve">if the visual is published) that this anomaly type recurs and the sensitivity slider should be adjusted for this metric on the next iteration.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You have a time series with potential anomalies you want surfaced without prior bias about where to look. The business-context check is what distinguishes the discipline from treating every visual-flagged spike as a real signal.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4">
        <w:r>
          <w:rPr>
            <w:rStyle w:val="Hyperlink"/>
          </w:rPr>
          <w:t xml:space="preserve">asha-escalation-drivers</w:t>
        </w:r>
      </w:hyperlink>
      <w:r>
        <w:t xml:space="preserve"> </w:t>
      </w:r>
      <w:r>
        <w:t xml:space="preserve">— download CSV + JSON to reproduce the Anomaly Detection pass end-to-end. Shared with the other three Chapter 10 AI-visuals prompts.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/datasets/asha-escalation-drivers/" TargetMode="External" /><Relationship Type="http://schemas.openxmlformats.org/officeDocument/2006/relationships/hyperlink" Id="rId13" Target="/errat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/datasets/asha-escalation-drivers/" TargetMode="External" /><Relationship Type="http://schemas.openxmlformats.org/officeDocument/2006/relationships/hyperlink" Id="rId13" Target="/errat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2026-07-24T15:21:19Z</dcterms:created>
  <dcterms:modified xsi:type="dcterms:W3CDTF">2026-07-24T15:21:19Z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