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prompt-3-surface-drivers-for-a-metric"/>
    <w:p>
      <w:pPr>
        <w:pStyle w:val="Heading1"/>
      </w:pPr>
      <w:r>
        <w:t xml:space="preserve">Prompt 3 — Surface Drivers for a Metric</w:t>
      </w:r>
    </w:p>
    <w:p>
      <w:pPr>
        <w:pStyle w:val="BlockText"/>
      </w:pPr>
      <w:r>
        <w:t xml:space="preserve">Adapted from Chapter 10 (Asha worked example, escalation drivers). The pattern for the Key Influencers AI visual.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 (Key Influencers visual)</w:t>
      </w:r>
    </w:p>
    <w:bookmarkStart w:id="9" w:name="crystallize"/>
    <w:p>
      <w:pPr>
        <w:pStyle w:val="Heading2"/>
      </w:pPr>
      <w:r>
        <w:t xml:space="preserve">Crystallize</w:t>
      </w:r>
    </w:p>
    <w:p>
      <w:pPr>
        <w:pStyle w:val="BlockText"/>
      </w:pPr>
      <w:r>
        <w:t xml:space="preserve">“What drives escalation on customer support tickets?”</w:t>
      </w:r>
    </w:p>
    <w:p>
      <w:pPr>
        <w:pStyle w:val="FirstParagraph"/>
      </w:pPr>
      <w:r>
        <w:t xml:space="preserve">Run against the Key Influencers visual with three Explain-by fields (Customer tier, Product line, Ticket age). The Crystallize work happens in the</w:t>
      </w:r>
      <w:r>
        <w:t xml:space="preserve"> </w:t>
      </w:r>
      <w:r>
        <w:rPr>
          <w:b/>
          <w:bCs/>
        </w:rPr>
        <w:t xml:space="preserve">choice of Explain-by fields</w:t>
      </w:r>
      <w:r>
        <w:t xml:space="preserve">, not in a conversational exchange — Key Influencers is a no-conversation surface.</w:t>
      </w:r>
    </w:p>
    <w:p>
      <w:pPr>
        <w:pStyle w:val="BodyText"/>
      </w:pPr>
      <w:r>
        <w:t xml:space="preserve">The discipline: choose Explain-by fields that you have a hypothesis about, not the fields most readily at hand. Explain-by selection is the prompt.</w:t>
      </w:r>
    </w:p>
    <w:bookmarkEnd w:id="9"/>
    <w:bookmarkStart w:id="10" w:name="synthesize"/>
    <w:p>
      <w:pPr>
        <w:pStyle w:val="Heading2"/>
      </w:pPr>
      <w:r>
        <w:t xml:space="preserve">Synthesize</w:t>
      </w:r>
    </w:p>
    <w:p>
      <w:pPr>
        <w:pStyle w:val="FirstParagraph"/>
      </w:pPr>
      <w:r>
        <w:t xml:space="preserve">No explicit synthesize turn — the visual just runs. Treat the field selection as your own contract with the data; if Key Influencers returns something surprising, ask whether your Explain-by set is the right one before accepting the surprise as the answer.</w:t>
      </w:r>
    </w:p>
    <w:bookmarkEnd w:id="10"/>
    <w:bookmarkStart w:id="11" w:name="augment"/>
    <w:p>
      <w:pPr>
        <w:pStyle w:val="Heading2"/>
      </w:pPr>
      <w:r>
        <w:t xml:space="preserve">Augment</w:t>
      </w:r>
    </w:p>
    <w:p>
      <w:pPr>
        <w:pStyle w:val="FirstParagraph"/>
      </w:pPr>
      <w:r>
        <w:t xml:space="preserve">Key Influencers returns a ranked driver list — for the Asha case: (1) Ticket age &gt; 7 days, 4.1x; (2) Enterprise tier, 2.3x; (3) Identity product line, 1.8x.</w:t>
      </w:r>
    </w:p>
    <w:bookmarkEnd w:id="11"/>
    <w:bookmarkStart w:id="13" w:name="refine-per-visual-move-part-i-principles"/>
    <w:p>
      <w:pPr>
        <w:pStyle w:val="Heading2"/>
      </w:pPr>
      <w:r>
        <w:t xml:space="preserve">Refine (per-visual move + Part I principles)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 10 confound check</w:t>
      </w:r>
      <w:r>
        <w:t xml:space="preserve"> </w:t>
      </w:r>
      <w:r>
        <w:t xml:space="preserve">(the per-visual move for Key Influencers): Filter to the top-ranked driver’s narrowest meaningful slice and re-run. In the Asha case, filtering to Identity-only made the Enterprise driver disappear — revealing that the original ranking implied two independent levers where there was actually one (the SSO/federation feature area within Identity tickets, confounded with customer tier through population overlap).</w:t>
      </w:r>
      <w:r>
        <w:t xml:space="preserve"> </w:t>
      </w:r>
      <w:r>
        <w:rPr>
          <w:b/>
          <w:bCs/>
        </w:rPr>
        <w:t xml:space="preserve">Run this check before treating any Key Influencers ranking as actionable.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 3 (Big Idea) and Ch 6 (color)</w:t>
      </w:r>
      <w:r>
        <w:t xml:space="preserve">: If the Smart Narrative paragraph or the visual’s headline foregrounds a driver the confound check disqualified, edit to name the specific finding the data actually supports.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12">
        <w:r>
          <w:rPr>
            <w:rStyle w:val="Hyperlink"/>
          </w:rPr>
          <w:t xml:space="preserve">companion to Chapter 10</w:t>
        </w:r>
      </w:hyperlink>
      <w:r>
        <w:t xml:space="preserve"> </w:t>
      </w:r>
      <w:r>
        <w:t xml:space="preserve">for the full AI-visuals treatment.</w:t>
      </w:r>
    </w:p>
    <w:bookmarkEnd w:id="13"/>
    <w:bookmarkStart w:id="15" w:name="ship-decision"/>
    <w:p>
      <w:pPr>
        <w:pStyle w:val="Heading2"/>
      </w:pPr>
      <w:r>
        <w:t xml:space="preserve">Ship decision</w:t>
      </w:r>
    </w:p>
    <w:p>
      <w:pPr>
        <w:pStyle w:val="FirstParagraph"/>
      </w:pPr>
      <w:r>
        <w:t xml:space="preserve">Ship the rewritten driver list when the confound check correctly isolates the operational lever. A Key Influencers ranking without the confound check is</w:t>
      </w:r>
      <w:r>
        <w:t xml:space="preserve"> </w:t>
      </w:r>
      <w:r>
        <w:rPr>
          <w:i/>
          <w:iCs/>
        </w:rPr>
        <w:t xml:space="preserve">vibe charting</w:t>
      </w:r>
      <w:r>
        <w:t xml:space="preserve">, regardless of how confident the visual looks.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You have a metric and three or more hypotheses about what drives it, and you want a ranked influence list. The confound check is what distinguishes the discipline from accepting the visual’s first answer.</w:t>
      </w:r>
    </w:p>
    <w:p>
      <w:pPr>
        <w:pStyle w:val="BodyText"/>
      </w:pPr>
      <w:r>
        <w:rPr>
          <w:b/>
          <w:bCs/>
        </w:rPr>
        <w:t xml:space="preserve">Dataset</w:t>
      </w:r>
      <w:r>
        <w:t xml:space="preserve">:</w:t>
      </w:r>
      <w:r>
        <w:t xml:space="preserve"> </w:t>
      </w:r>
      <w:hyperlink r:id="rId14">
        <w:r>
          <w:rPr>
            <w:rStyle w:val="Hyperlink"/>
          </w:rPr>
          <w:t xml:space="preserve">asha-escalation-drivers</w:t>
        </w:r>
      </w:hyperlink>
      <w:r>
        <w:t xml:space="preserve"> </w:t>
      </w:r>
      <w:r>
        <w:t xml:space="preserve">— download CSV + JSON to reproduce the Key Influencers pass end-to-end. This dataset is shared across all four Chapter 10 AI-visuals prompts (Key Influencers, Anomaly Detection, Decomposition Tree, Smart Narrative).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/ch/10/" TargetMode="External" /><Relationship Type="http://schemas.openxmlformats.org/officeDocument/2006/relationships/hyperlink" Id="rId14" Target="/datasets/asha-escalation-driver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/ch/10/" TargetMode="External" /><Relationship Type="http://schemas.openxmlformats.org/officeDocument/2006/relationships/hyperlink" Id="rId14" Target="/datasets/asha-escalation-driver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2026-07-24T15:21:19Z</dcterms:created>
  <dcterms:modified xsi:type="dcterms:W3CDTF">2026-07-24T15:21:19Z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