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5" w:name="prompt-2-generate-a-comparison-report"/>
    <w:p>
      <w:pPr>
        <w:pStyle w:val="Heading1"/>
      </w:pPr>
      <w:r>
        <w:t xml:space="preserve">Prompt 2 — Generate a Comparison Report</w:t>
      </w:r>
    </w:p>
    <w:p>
      <w:pPr>
        <w:pStyle w:val="BlockText"/>
      </w:pPr>
      <w:r>
        <w:t xml:space="preserve">Adapted from Chapter 9 (Diego worked example, campaign attribution). The CSAR-loop entry point for plan-vs-actual reports against a strict finance measure.</w:t>
      </w:r>
    </w:p>
    <w:p>
      <w:pPr>
        <w:pStyle w:val="BlockText"/>
      </w:pPr>
      <w:r>
        <w:rPr>
          <w:b/>
          <w:bCs/>
        </w:rPr>
        <w:t xml:space="preserve">Verified against</w:t>
      </w:r>
      <w:r>
        <w:t xml:space="preserve">: Power BI Copilot, June 2026 surface</w:t>
      </w:r>
    </w:p>
    <w:bookmarkStart w:id="9" w:name="crystallize"/>
    <w:p>
      <w:pPr>
        <w:pStyle w:val="Heading2"/>
      </w:pPr>
      <w:r>
        <w:t xml:space="preserve">Crystallize</w:t>
      </w:r>
    </w:p>
    <w:p>
      <w:pPr>
        <w:pStyle w:val="BlockText"/>
      </w:pPr>
      <w:r>
        <w:t xml:space="preserve">“Build me a one-page executive report on Q3 campaign-attributed pipeline against the annual plan, by campaign type, with the takeaway focused on whether marketing-sourced pipeline is on track for the FY plan. Use the</w:t>
      </w:r>
      <w:r>
        <w:t xml:space="preserve"> </w:t>
      </w:r>
      <w:r>
        <w:rPr>
          <w:rStyle w:val="VerbatimChar"/>
        </w:rPr>
        <w:t xml:space="preserve">[Attributed Pipeline]</w:t>
      </w:r>
      <w:r>
        <w:t xml:space="preserve"> </w:t>
      </w:r>
      <w:r>
        <w:t xml:space="preserve">measure (the strict definition the finance team uses for plan-tracking), not</w:t>
      </w:r>
      <w:r>
        <w:t xml:space="preserve"> </w:t>
      </w:r>
      <w:r>
        <w:rPr>
          <w:rStyle w:val="VerbatimChar"/>
        </w:rPr>
        <w:t xml:space="preserve">[Influenced Pipeline]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[Sourced Pipeline]</w:t>
      </w:r>
      <w:r>
        <w:t xml:space="preserve">. Quarterly grain. Entity grain is campaign type, not individual campaign.”</w:t>
      </w:r>
    </w:p>
    <w:p>
      <w:pPr>
        <w:pStyle w:val="FirstParagraph"/>
      </w:pPr>
      <w:r>
        <w:t xml:space="preserve">The Crystallize move names</w:t>
      </w:r>
      <w:r>
        <w:t xml:space="preserve"> </w:t>
      </w:r>
      <w:r>
        <w:rPr>
          <w:b/>
          <w:bCs/>
        </w:rPr>
        <w:t xml:space="preserve">measure</w:t>
      </w:r>
      <w:r>
        <w:t xml:space="preserve">,</w:t>
      </w:r>
      <w:r>
        <w:t xml:space="preserve"> </w:t>
      </w:r>
      <w:r>
        <w:rPr>
          <w:b/>
          <w:bCs/>
        </w:rPr>
        <w:t xml:space="preserve">grain</w:t>
      </w:r>
      <w:r>
        <w:t xml:space="preserve">,</w:t>
      </w:r>
      <w:r>
        <w:t xml:space="preserve"> </w:t>
      </w:r>
      <w:r>
        <w:rPr>
          <w:b/>
          <w:bCs/>
        </w:rPr>
        <w:t xml:space="preserve">comparison</w:t>
      </w:r>
      <w:r>
        <w:t xml:space="preserve">, and</w:t>
      </w:r>
      <w:r>
        <w:t xml:space="preserve"> </w:t>
      </w:r>
      <w:r>
        <w:rPr>
          <w:b/>
          <w:bCs/>
        </w:rPr>
        <w:t xml:space="preserve">takeaway</w:t>
      </w:r>
      <w:r>
        <w:t xml:space="preserve"> </w:t>
      </w:r>
      <w:r>
        <w:t xml:space="preserve">— all four. When any of the four is missing, the Refine column gets longer.</w:t>
      </w:r>
    </w:p>
    <w:bookmarkEnd w:id="9"/>
    <w:bookmarkStart w:id="10" w:name="synthesize"/>
    <w:p>
      <w:pPr>
        <w:pStyle w:val="Heading2"/>
      </w:pPr>
      <w:r>
        <w:t xml:space="preserve">Synthesize</w:t>
      </w:r>
    </w:p>
    <w:p>
      <w:pPr>
        <w:pStyle w:val="FirstParagraph"/>
      </w:pPr>
      <w:r>
        <w:t xml:space="preserve">Copilot restates the measure, grain, comparison, and takeaway. Confirm. The restatement may also name a constraint Copilot inferred but you did not state (the Smart Narrative paragraph will be limited to one sentence, for example). Accept or reject explicitly — silent acceptance defeats the purpose of the synthesize turn.</w:t>
      </w:r>
    </w:p>
    <w:bookmarkEnd w:id="10"/>
    <w:bookmarkStart w:id="11" w:name="augment"/>
    <w:p>
      <w:pPr>
        <w:pStyle w:val="Heading2"/>
      </w:pPr>
      <w:r>
        <w:t xml:space="preserve">Augment</w:t>
      </w:r>
    </w:p>
    <w:p>
      <w:pPr>
        <w:pStyle w:val="FirstParagraph"/>
      </w:pPr>
      <w:r>
        <w:t xml:space="preserve">Expect one page; clustered bar of quarterly contribution by campaign type; card showing year-to-date number against plan; one-sentence Smart Narrative.</w:t>
      </w:r>
    </w:p>
    <w:bookmarkEnd w:id="11"/>
    <w:bookmarkStart w:id="12" w:name="Xe19c62984b4cbc075fbcd0ca13d8eb59ae3e32c"/>
    <w:p>
      <w:pPr>
        <w:pStyle w:val="Heading2"/>
      </w:pPr>
      <w:r>
        <w:t xml:space="preserve">Refine (corrections named by Part I principle)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Ch 4 (chart-family fit)</w:t>
      </w:r>
      <w:r>
        <w:t xml:space="preserve">: If the clustered bar is sorted alphabetically, ask for descending order by most recent quarter’s contribution. Ordering carries argument; alphabetical order argues nothing.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Ch 6 (color discipline)</w:t>
      </w:r>
      <w:r>
        <w:t xml:space="preserve">: If the card is colored green even though the run-rate suggests the year-end will not close the gap, ask for a neutral color until the year is closed. Color is the strongest visual claim; do not let Copilot make a claim the data does not yet support.</w:t>
      </w:r>
    </w:p>
    <w:bookmarkEnd w:id="12"/>
    <w:bookmarkStart w:id="14" w:name="ship-decision"/>
    <w:p>
      <w:pPr>
        <w:pStyle w:val="Heading2"/>
      </w:pPr>
      <w:r>
        <w:t xml:space="preserve">Ship decision</w:t>
      </w:r>
    </w:p>
    <w:p>
      <w:pPr>
        <w:pStyle w:val="FirstParagraph"/>
      </w:pPr>
      <w:r>
        <w:t xml:space="preserve">Ship when the year-to-date number reconciles to the finance attribution close. The reconciliation is non-negotiable for plan-tracking artifacts.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  <w:bCs/>
        </w:rPr>
        <w:t xml:space="preserve">When to use this prompt</w:t>
      </w:r>
      <w:r>
        <w:t xml:space="preserve">: The audience needs a strict plan-vs-actual view backed by a single finance-blessed measure. The discipline of naming the measure explicitly (especially when adjacent measures share the same general name) is what prevents the wrong measure from quietly entering the report.</w:t>
      </w:r>
    </w:p>
    <w:p>
      <w:pPr>
        <w:pStyle w:val="BodyText"/>
      </w:pPr>
      <w:r>
        <w:rPr>
          <w:b/>
          <w:bCs/>
        </w:rPr>
        <w:t xml:space="preserve">Dataset</w:t>
      </w:r>
      <w:r>
        <w:t xml:space="preserve">:</w:t>
      </w:r>
      <w:r>
        <w:t xml:space="preserve"> </w:t>
      </w:r>
      <w:hyperlink r:id="rId13">
        <w:r>
          <w:rPr>
            <w:rStyle w:val="Hyperlink"/>
          </w:rPr>
          <w:t xml:space="preserve">diego-campaign-attribution</w:t>
        </w:r>
      </w:hyperlink>
      <w:r>
        <w:t xml:space="preserve"> </w:t>
      </w:r>
      <w:r>
        <w:t xml:space="preserve">— download CSV + JSON to reproduce the Diego comparison-report pass end-to-end.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/datasets/diego-campaign-attribution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/datasets/diego-campaign-attribution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2026-07-24T15:21:19Z</dcterms:created>
  <dcterms:modified xsi:type="dcterms:W3CDTF">2026-07-24T15:21:19Z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