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prompt-1-build-an-executive-summary"/>
    <w:p>
      <w:pPr>
        <w:pStyle w:val="Heading1"/>
      </w:pPr>
      <w:r>
        <w:t xml:space="preserve">Prompt 1 — Build an Executive Summary</w:t>
      </w:r>
    </w:p>
    <w:p>
      <w:pPr>
        <w:pStyle w:val="BlockText"/>
      </w:pPr>
      <w:r>
        <w:t xml:space="preserve">Adapted from Chapter 8 (Sara worked example, EMEA Q3 miss). The CSAR-loop entry point for prose-heavy summaries built from a semantic model.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</w:t>
      </w:r>
    </w:p>
    <w:bookmarkStart w:id="9" w:name="crystallize-the-analysts-first-move"/>
    <w:p>
      <w:pPr>
        <w:pStyle w:val="Heading2"/>
      </w:pPr>
      <w:r>
        <w:t xml:space="preserve">Crystallize (the analyst’s first move)</w:t>
      </w:r>
    </w:p>
    <w:p>
      <w:pPr>
        <w:pStyle w:val="BlockText"/>
      </w:pPr>
      <w:r>
        <w:t xml:space="preserve">“Before you build me anything, what would you need to know to write a defensible one-page summary of why EMEA missed plan in Q3?”</w:t>
      </w:r>
    </w:p>
    <w:p>
      <w:pPr>
        <w:pStyle w:val="FirstParagraph"/>
      </w:pPr>
      <w:r>
        <w:t xml:space="preserve">The Crystallize move forces Copilot to surface its missing-information list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committing to an output. The cost of asking is one turn; the cost of skipping is rework.</w:t>
      </w:r>
    </w:p>
    <w:bookmarkEnd w:id="9"/>
    <w:bookmarkStart w:id="10" w:name="synthesize-copilots-restatement"/>
    <w:p>
      <w:pPr>
        <w:pStyle w:val="Heading2"/>
      </w:pPr>
      <w:r>
        <w:t xml:space="preserve">Synthesize (Copilot’s restatement)</w:t>
      </w:r>
    </w:p>
    <w:p>
      <w:pPr>
        <w:pStyle w:val="FirstParagraph"/>
      </w:pPr>
      <w:r>
        <w:t xml:space="preserve">Copilot will return a list of clarifying questions — in the Sara example, six of them: which definition of</w:t>
      </w:r>
      <w:r>
        <w:t xml:space="preserve"> </w:t>
      </w:r>
      <w:r>
        <w:rPr>
          <w:i/>
          <w:iCs/>
        </w:rPr>
        <w:t xml:space="preserve">plan</w:t>
      </w:r>
      <w:r>
        <w:t xml:space="preserve">, which sub-regions to break out, what time grain, whether to include forward-looking forecast, what the audience-decision pairing is, and what off-the-table topics to avoid. Answer each in a sentence; let Copilot restate the agreed scope back.</w:t>
      </w:r>
    </w:p>
    <w:p>
      <w:pPr>
        <w:pStyle w:val="BodyText"/>
      </w:pPr>
      <w:r>
        <w:t xml:space="preserve">The scope-restatement is the contract. If Copilot’s restatement is wrong, fix it in the conversation — do not let the wrong scope get baked into the visual.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BlockText"/>
      </w:pPr>
      <w:r>
        <w:t xml:space="preserve">“Build the one-page summary now.”</w:t>
      </w:r>
    </w:p>
    <w:p>
      <w:pPr>
        <w:pStyle w:val="FirstParagraph"/>
      </w:pPr>
      <w:r>
        <w:t xml:space="preserve">Expect one page with two visuals (variance + trend) and a single takeaway sentence.</w:t>
      </w:r>
    </w:p>
    <w:bookmarkEnd w:id="11"/>
    <w:bookmarkStart w:id="13" w:name="Xe19c62984b4cbc075fbcd0ca13d8eb59ae3e32c"/>
    <w:p>
      <w:pPr>
        <w:pStyle w:val="Heading2"/>
      </w:pPr>
      <w:r>
        <w:t xml:space="preserve">Refine (corrections named by Part I principle)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3 (Big Idea)</w:t>
      </w:r>
      <w:r>
        <w:t xml:space="preserve">: If the takeaway sentence reads as a temporary-cause framing when the data shows structural decline, rewrite the takeaway with the structural framing. The Big Idea must be defensible against the data, not optimistic against the audience.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6 (color accessibility)</w:t>
      </w:r>
      <w:r>
        <w:t xml:space="preserve">: If the variance bar uses brand-palette red and green, run the color-blindness simulator (see</w:t>
      </w:r>
      <w:r>
        <w:t xml:space="preserve"> </w:t>
      </w:r>
      <w:hyperlink r:id="rId12">
        <w:r>
          <w:rPr>
            <w:rStyle w:val="Hyperlink"/>
          </w:rPr>
          <w:t xml:space="preserve">Chapter 6 companion</w:t>
        </w:r>
      </w:hyperlink>
      <w:r>
        <w:t xml:space="preserve">) before ship.</w:t>
      </w:r>
    </w:p>
    <w:bookmarkEnd w:id="13"/>
    <w:bookmarkStart w:id="16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when the headline number reconciles to the prior-period close to within rounding. If reconciliation fails, the work goes back to the data, not to the prompt.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Audience expects narrative-shaped output (executive summary, briefing memo, post-meeting recap) rather than a dashboard. The Crystallize-first move is what distinguishes the discipline from prompt roulette — see the</w:t>
      </w:r>
      <w:r>
        <w:t xml:space="preserve"> </w:t>
      </w:r>
      <w:hyperlink r:id="rId14">
        <w:r>
          <w:rPr>
            <w:rStyle w:val="Hyperlink"/>
          </w:rPr>
          <w:t xml:space="preserve">companion to Chapter 8</w:t>
        </w:r>
      </w:hyperlink>
      <w:r>
        <w:t xml:space="preserve"> </w:t>
      </w:r>
      <w:r>
        <w:t xml:space="preserve">for the underlying CSAR-loop methodology.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5">
        <w:r>
          <w:rPr>
            <w:rStyle w:val="Hyperlink"/>
          </w:rPr>
          <w:t xml:space="preserve">sara-emea-csar</w:t>
        </w:r>
      </w:hyperlink>
      <w:r>
        <w:t xml:space="preserve"> </w:t>
      </w:r>
      <w:r>
        <w:t xml:space="preserve">— download CSV + JSON to reproduce the Sara CSAR-loop pass end-to-end.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06/" TargetMode="External" /><Relationship Type="http://schemas.openxmlformats.org/officeDocument/2006/relationships/hyperlink" Id="rId14" Target="/ch/08/" TargetMode="External" /><Relationship Type="http://schemas.openxmlformats.org/officeDocument/2006/relationships/hyperlink" Id="rId15" Target="/datasets/sara-emea-csa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06/" TargetMode="External" /><Relationship Type="http://schemas.openxmlformats.org/officeDocument/2006/relationships/hyperlink" Id="rId14" Target="/ch/08/" TargetMode="External" /><Relationship Type="http://schemas.openxmlformats.org/officeDocument/2006/relationships/hyperlink" Id="rId15" Target="/datasets/sara-emea-csa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2026-07-24T15:21:18Z</dcterms:created>
  <dcterms:modified xsi:type="dcterms:W3CDTF">2026-07-24T15:21:18Z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